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after="40"/>
      </w:pPr>
      <w:r>
        <w:rPr>
          <w:rFonts w:ascii="Calibri" w:hAnsi="Calibri"/>
          <w:b/>
          <w:i w:val="0"/>
          <w:color w:val="2E75B6"/>
          <w:sz w:val="18"/>
        </w:rPr>
        <w:t>NORTHSTAR AI</w:t>
      </w:r>
    </w:p>
    <w:p>
      <w:pPr>
        <w:spacing w:before="0" w:after="80"/>
      </w:pPr>
      <w:r>
        <w:rPr>
          <w:rFonts w:ascii="Calibri" w:hAnsi="Calibri"/>
          <w:b/>
          <w:i w:val="0"/>
          <w:color w:val="17365D"/>
          <w:sz w:val="48"/>
        </w:rPr>
        <w:t>Aurora Marketing Plan</w:t>
      </w:r>
    </w:p>
    <w:tbl>
      <w:tblPr>
        <w:tblStyle w:val="TableGrid"/>
        <w:tblW w:type="dxa" w:w="9360"/>
        <w:jc w:val="left"/>
        <w:tblLayout w:type="fixed"/>
        <w:tblLook w:firstColumn="1" w:firstRow="1" w:lastColumn="0" w:lastRow="0" w:noHBand="0" w:noVBand="1" w:val="04A0"/>
        <w:tblInd w:w="120" w:type="dxa"/>
      </w:tblPr>
      <w:tblGrid>
        <w:gridCol w:w="1420"/>
        <w:gridCol w:w="3260"/>
        <w:gridCol w:w="1180"/>
        <w:gridCol w:w="3500"/>
      </w:tblGrid>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Department</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Marketing</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Owner</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Priya Shah, VP Marketing</w:t>
            </w:r>
          </w:p>
        </w:tc>
      </w:tr>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Date</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February 2, 2026</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Status</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Approved</w:t>
            </w:r>
          </w:p>
        </w:tc>
      </w:tr>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Related Product</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Aurora</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Classification</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Internal - fictional demo</w:t>
            </w:r>
          </w:p>
        </w:tc>
      </w:tr>
    </w:tbl>
    <w:p>
      <w:pPr>
        <w:spacing w:after="0"/>
      </w:pPr>
    </w:p>
    <w:p>
      <w:pPr>
        <w:pStyle w:val="Heading1"/>
      </w:pPr>
      <w:r>
        <w:t>2026 objective</w:t>
      </w:r>
    </w:p>
    <w:p>
      <w:r>
        <w:rPr>
          <w:rFonts w:ascii="Calibri" w:hAnsi="Calibri"/>
          <w:b w:val="0"/>
          <w:i w:val="0"/>
          <w:color w:val="202124"/>
          <w:sz w:val="22"/>
        </w:rPr>
        <w:t>Position Aurora as a practical AI assistant for finance leaders who need faster analysis with clear source evidence. The 2026 marketing goal is to create qualified demand without implying that Aurora replaces accounting judgment or controls.</w:t>
      </w:r>
    </w:p>
    <w:p>
      <w:pPr>
        <w:pStyle w:val="Heading1"/>
      </w:pPr>
      <w:r>
        <w:t>Priority audiences and messages</w:t>
      </w:r>
    </w:p>
    <w:tbl>
      <w:tblPr>
        <w:tblStyle w:val="TableGrid"/>
        <w:tblW w:type="dxa" w:w="9360"/>
        <w:jc w:val="left"/>
        <w:tblLayout w:type="fixed"/>
        <w:tblLook w:firstColumn="1" w:firstRow="1" w:lastColumn="0" w:lastRow="0" w:noHBand="0" w:noVBand="1" w:val="04A0"/>
        <w:tblInd w:w="120" w:type="dxa"/>
      </w:tblPr>
      <w:tblGrid>
        <w:gridCol w:w="1900"/>
        <w:gridCol w:w="2820"/>
        <w:gridCol w:w="4640"/>
      </w:tblGrid>
      <w:tr>
        <w:trPr>
          <w:tblHeader w:val="true"/>
        </w:trPr>
        <w:tc>
          <w:tcPr>
            <w:tcW w:type="dxa" w:w="1900"/>
            <w:shd w:fill="17365D"/>
            <w:vAlign w:val="center"/>
            <w:tcMar>
              <w:top w:w="90" w:type="dxa"/>
              <w:start w:w="120" w:type="dxa"/>
              <w:bottom w:w="90" w:type="dxa"/>
              <w:end w:w="120" w:type="dxa"/>
            </w:tcMar>
          </w:tcPr>
          <w:p>
            <w:pPr>
              <w:spacing w:after="0"/>
            </w:pPr>
            <w:r>
              <w:rPr>
                <w:rFonts w:ascii="Calibri" w:hAnsi="Calibri"/>
                <w:b/>
                <w:i w:val="0"/>
                <w:color w:val="FFFFFF"/>
                <w:sz w:val="17"/>
              </w:rPr>
              <w:t>Audience</w:t>
            </w:r>
          </w:p>
        </w:tc>
        <w:tc>
          <w:tcPr>
            <w:tcW w:type="dxa" w:w="2820"/>
            <w:shd w:fill="17365D"/>
            <w:vAlign w:val="center"/>
            <w:tcMar>
              <w:top w:w="90" w:type="dxa"/>
              <w:start w:w="120" w:type="dxa"/>
              <w:bottom w:w="90" w:type="dxa"/>
              <w:end w:w="120" w:type="dxa"/>
            </w:tcMar>
          </w:tcPr>
          <w:p>
            <w:pPr>
              <w:spacing w:after="0"/>
            </w:pPr>
            <w:r>
              <w:rPr>
                <w:rFonts w:ascii="Calibri" w:hAnsi="Calibri"/>
                <w:b/>
                <w:i w:val="0"/>
                <w:color w:val="FFFFFF"/>
                <w:sz w:val="17"/>
              </w:rPr>
              <w:t>Primary need</w:t>
            </w:r>
          </w:p>
        </w:tc>
        <w:tc>
          <w:tcPr>
            <w:tcW w:type="dxa" w:w="4640"/>
            <w:shd w:fill="17365D"/>
            <w:vAlign w:val="center"/>
            <w:tcMar>
              <w:top w:w="90" w:type="dxa"/>
              <w:start w:w="120" w:type="dxa"/>
              <w:bottom w:w="90" w:type="dxa"/>
              <w:end w:w="120" w:type="dxa"/>
            </w:tcMar>
          </w:tcPr>
          <w:p>
            <w:pPr>
              <w:spacing w:after="0"/>
            </w:pPr>
            <w:r>
              <w:rPr>
                <w:rFonts w:ascii="Calibri" w:hAnsi="Calibri"/>
                <w:b/>
                <w:i w:val="0"/>
                <w:color w:val="FFFFFF"/>
                <w:sz w:val="17"/>
              </w:rPr>
              <w:t>Message</w:t>
            </w:r>
          </w:p>
        </w:tc>
      </w:tr>
      <w:tr>
        <w:tc>
          <w:tcPr>
            <w:tcW w:type="dxa" w:w="1900"/>
            <w:vAlign w:val="center"/>
            <w:tcMar>
              <w:top w:w="90" w:type="dxa"/>
              <w:start w:w="120" w:type="dxa"/>
              <w:bottom w:w="90" w:type="dxa"/>
              <w:end w:w="120" w:type="dxa"/>
            </w:tcMar>
          </w:tcPr>
          <w:p>
            <w:pPr>
              <w:spacing w:after="0"/>
            </w:pPr>
            <w:r>
              <w:rPr>
                <w:rFonts w:ascii="Calibri" w:hAnsi="Calibri"/>
                <w:b w:val="0"/>
                <w:i w:val="0"/>
                <w:color w:val="202124"/>
                <w:sz w:val="16"/>
              </w:rPr>
              <w:t>Controllers</w:t>
            </w:r>
          </w:p>
        </w:tc>
        <w:tc>
          <w:tcPr>
            <w:tcW w:type="dxa" w:w="2820"/>
            <w:vAlign w:val="center"/>
            <w:tcMar>
              <w:top w:w="90" w:type="dxa"/>
              <w:start w:w="120" w:type="dxa"/>
              <w:bottom w:w="90" w:type="dxa"/>
              <w:end w:w="120" w:type="dxa"/>
            </w:tcMar>
          </w:tcPr>
          <w:p>
            <w:pPr>
              <w:spacing w:after="0"/>
            </w:pPr>
            <w:r>
              <w:rPr>
                <w:rFonts w:ascii="Calibri" w:hAnsi="Calibri"/>
                <w:b w:val="0"/>
                <w:i w:val="0"/>
                <w:color w:val="202124"/>
                <w:sz w:val="16"/>
              </w:rPr>
              <w:t>Shorter close review</w:t>
            </w:r>
          </w:p>
        </w:tc>
        <w:tc>
          <w:tcPr>
            <w:tcW w:type="dxa" w:w="4640"/>
            <w:vAlign w:val="center"/>
            <w:tcMar>
              <w:top w:w="90" w:type="dxa"/>
              <w:start w:w="120" w:type="dxa"/>
              <w:bottom w:w="90" w:type="dxa"/>
              <w:end w:w="120" w:type="dxa"/>
            </w:tcMar>
          </w:tcPr>
          <w:p>
            <w:pPr>
              <w:spacing w:after="0"/>
            </w:pPr>
            <w:r>
              <w:rPr>
                <w:rFonts w:ascii="Calibri" w:hAnsi="Calibri"/>
                <w:b w:val="0"/>
                <w:i w:val="0"/>
                <w:color w:val="202124"/>
                <w:sz w:val="16"/>
              </w:rPr>
              <w:t>Turn reporting packages into sourced explanations.</w:t>
            </w:r>
          </w:p>
        </w:tc>
      </w:tr>
      <w:tr>
        <w:tc>
          <w:tcPr>
            <w:tcW w:type="dxa" w:w="1900"/>
            <w:shd w:fill="F8FAFC"/>
            <w:vAlign w:val="center"/>
            <w:tcMar>
              <w:top w:w="90" w:type="dxa"/>
              <w:start w:w="120" w:type="dxa"/>
              <w:bottom w:w="90" w:type="dxa"/>
              <w:end w:w="120" w:type="dxa"/>
            </w:tcMar>
          </w:tcPr>
          <w:p>
            <w:pPr>
              <w:spacing w:after="0"/>
            </w:pPr>
            <w:r>
              <w:rPr>
                <w:rFonts w:ascii="Calibri" w:hAnsi="Calibri"/>
                <w:b w:val="0"/>
                <w:i w:val="0"/>
                <w:color w:val="202124"/>
                <w:sz w:val="16"/>
              </w:rPr>
              <w:t>FP&amp;A leaders</w:t>
            </w:r>
          </w:p>
        </w:tc>
        <w:tc>
          <w:tcPr>
            <w:tcW w:type="dxa" w:w="2820"/>
            <w:shd w:fill="F8FAFC"/>
            <w:vAlign w:val="center"/>
            <w:tcMar>
              <w:top w:w="90" w:type="dxa"/>
              <w:start w:w="120" w:type="dxa"/>
              <w:bottom w:w="90" w:type="dxa"/>
              <w:end w:w="120" w:type="dxa"/>
            </w:tcMar>
          </w:tcPr>
          <w:p>
            <w:pPr>
              <w:spacing w:after="0"/>
            </w:pPr>
            <w:r>
              <w:rPr>
                <w:rFonts w:ascii="Calibri" w:hAnsi="Calibri"/>
                <w:b w:val="0"/>
                <w:i w:val="0"/>
                <w:color w:val="202124"/>
                <w:sz w:val="16"/>
              </w:rPr>
              <w:t>Faster variance analysis</w:t>
            </w:r>
          </w:p>
        </w:tc>
        <w:tc>
          <w:tcPr>
            <w:tcW w:type="dxa" w:w="4640"/>
            <w:shd w:fill="F8FAFC"/>
            <w:vAlign w:val="center"/>
            <w:tcMar>
              <w:top w:w="90" w:type="dxa"/>
              <w:start w:w="120" w:type="dxa"/>
              <w:bottom w:w="90" w:type="dxa"/>
              <w:end w:w="120" w:type="dxa"/>
            </w:tcMar>
          </w:tcPr>
          <w:p>
            <w:pPr>
              <w:spacing w:after="0"/>
            </w:pPr>
            <w:r>
              <w:rPr>
                <w:rFonts w:ascii="Calibri" w:hAnsi="Calibri"/>
                <w:b w:val="0"/>
                <w:i w:val="0"/>
                <w:color w:val="202124"/>
                <w:sz w:val="16"/>
              </w:rPr>
              <w:t>Ask questions across plans, actuals, and commentary.</w:t>
            </w:r>
          </w:p>
        </w:tc>
      </w:tr>
      <w:tr>
        <w:tc>
          <w:tcPr>
            <w:tcW w:type="dxa" w:w="1900"/>
            <w:vAlign w:val="center"/>
            <w:tcMar>
              <w:top w:w="90" w:type="dxa"/>
              <w:start w:w="120" w:type="dxa"/>
              <w:bottom w:w="90" w:type="dxa"/>
              <w:end w:w="120" w:type="dxa"/>
            </w:tcMar>
          </w:tcPr>
          <w:p>
            <w:pPr>
              <w:spacing w:after="0"/>
            </w:pPr>
            <w:r>
              <w:rPr>
                <w:rFonts w:ascii="Calibri" w:hAnsi="Calibri"/>
                <w:b w:val="0"/>
                <w:i w:val="0"/>
                <w:color w:val="202124"/>
                <w:sz w:val="16"/>
              </w:rPr>
              <w:t>CFOs</w:t>
            </w:r>
          </w:p>
        </w:tc>
        <w:tc>
          <w:tcPr>
            <w:tcW w:type="dxa" w:w="2820"/>
            <w:vAlign w:val="center"/>
            <w:tcMar>
              <w:top w:w="90" w:type="dxa"/>
              <w:start w:w="120" w:type="dxa"/>
              <w:bottom w:w="90" w:type="dxa"/>
              <w:end w:w="120" w:type="dxa"/>
            </w:tcMar>
          </w:tcPr>
          <w:p>
            <w:pPr>
              <w:spacing w:after="0"/>
            </w:pPr>
            <w:r>
              <w:rPr>
                <w:rFonts w:ascii="Calibri" w:hAnsi="Calibri"/>
                <w:b w:val="0"/>
                <w:i w:val="0"/>
                <w:color w:val="202124"/>
                <w:sz w:val="16"/>
              </w:rPr>
              <w:t>Trust and governance</w:t>
            </w:r>
          </w:p>
        </w:tc>
        <w:tc>
          <w:tcPr>
            <w:tcW w:type="dxa" w:w="4640"/>
            <w:vAlign w:val="center"/>
            <w:tcMar>
              <w:top w:w="90" w:type="dxa"/>
              <w:start w:w="120" w:type="dxa"/>
              <w:bottom w:w="90" w:type="dxa"/>
              <w:end w:w="120" w:type="dxa"/>
            </w:tcMar>
          </w:tcPr>
          <w:p>
            <w:pPr>
              <w:spacing w:after="0"/>
            </w:pPr>
            <w:r>
              <w:rPr>
                <w:rFonts w:ascii="Calibri" w:hAnsi="Calibri"/>
                <w:b w:val="0"/>
                <w:i w:val="0"/>
                <w:color w:val="202124"/>
                <w:sz w:val="16"/>
              </w:rPr>
              <w:t>Keep access controlled and answers traceable.</w:t>
            </w:r>
          </w:p>
        </w:tc>
      </w:tr>
    </w:tbl>
    <w:p>
      <w:pPr>
        <w:pStyle w:val="Heading1"/>
      </w:pPr>
      <w:r>
        <w:t>Campaign plan and spending</w:t>
      </w:r>
    </w:p>
    <w:tbl>
      <w:tblPr>
        <w:tblStyle w:val="TableGrid"/>
        <w:tblW w:type="dxa" w:w="9360"/>
        <w:jc w:val="left"/>
        <w:tblLayout w:type="fixed"/>
        <w:tblLook w:firstColumn="1" w:firstRow="1" w:lastColumn="0" w:lastRow="0" w:noHBand="0" w:noVBand="1" w:val="04A0"/>
        <w:tblInd w:w="120" w:type="dxa"/>
      </w:tblPr>
      <w:tblGrid>
        <w:gridCol w:w="2800"/>
        <w:gridCol w:w="1000"/>
        <w:gridCol w:w="1460"/>
        <w:gridCol w:w="4100"/>
      </w:tblGrid>
      <w:tr>
        <w:trPr>
          <w:tblHeader w:val="true"/>
        </w:trPr>
        <w:tc>
          <w:tcPr>
            <w:tcW w:type="dxa" w:w="2800"/>
            <w:shd w:fill="17365D"/>
            <w:vAlign w:val="center"/>
            <w:tcMar>
              <w:top w:w="90" w:type="dxa"/>
              <w:start w:w="120" w:type="dxa"/>
              <w:bottom w:w="90" w:type="dxa"/>
              <w:end w:w="120" w:type="dxa"/>
            </w:tcMar>
          </w:tcPr>
          <w:p>
            <w:pPr>
              <w:spacing w:after="0"/>
            </w:pPr>
            <w:r>
              <w:rPr>
                <w:rFonts w:ascii="Calibri" w:hAnsi="Calibri"/>
                <w:b/>
                <w:i w:val="0"/>
                <w:color w:val="FFFFFF"/>
                <w:sz w:val="17"/>
              </w:rPr>
              <w:t>Campaign</w:t>
            </w:r>
          </w:p>
        </w:tc>
        <w:tc>
          <w:tcPr>
            <w:tcW w:type="dxa" w:w="1000"/>
            <w:shd w:fill="17365D"/>
            <w:vAlign w:val="center"/>
            <w:tcMar>
              <w:top w:w="90" w:type="dxa"/>
              <w:start w:w="120" w:type="dxa"/>
              <w:bottom w:w="90" w:type="dxa"/>
              <w:end w:w="120" w:type="dxa"/>
            </w:tcMar>
          </w:tcPr>
          <w:p>
            <w:pPr>
              <w:spacing w:after="0"/>
            </w:pPr>
            <w:r>
              <w:rPr>
                <w:rFonts w:ascii="Calibri" w:hAnsi="Calibri"/>
                <w:b/>
                <w:i w:val="0"/>
                <w:color w:val="FFFFFF"/>
                <w:sz w:val="17"/>
              </w:rPr>
              <w:t>Quarter</w:t>
            </w:r>
          </w:p>
        </w:tc>
        <w:tc>
          <w:tcPr>
            <w:tcW w:type="dxa" w:w="1460"/>
            <w:shd w:fill="17365D"/>
            <w:vAlign w:val="center"/>
            <w:tcMar>
              <w:top w:w="90" w:type="dxa"/>
              <w:start w:w="120" w:type="dxa"/>
              <w:bottom w:w="90" w:type="dxa"/>
              <w:end w:w="120" w:type="dxa"/>
            </w:tcMar>
          </w:tcPr>
          <w:p>
            <w:pPr>
              <w:spacing w:after="0"/>
            </w:pPr>
            <w:r>
              <w:rPr>
                <w:rFonts w:ascii="Calibri" w:hAnsi="Calibri"/>
                <w:b/>
                <w:i w:val="0"/>
                <w:color w:val="FFFFFF"/>
                <w:sz w:val="17"/>
              </w:rPr>
              <w:t>Planned spend</w:t>
            </w:r>
          </w:p>
        </w:tc>
        <w:tc>
          <w:tcPr>
            <w:tcW w:type="dxa" w:w="4100"/>
            <w:shd w:fill="17365D"/>
            <w:vAlign w:val="center"/>
            <w:tcMar>
              <w:top w:w="90" w:type="dxa"/>
              <w:start w:w="120" w:type="dxa"/>
              <w:bottom w:w="90" w:type="dxa"/>
              <w:end w:w="120" w:type="dxa"/>
            </w:tcMar>
          </w:tcPr>
          <w:p>
            <w:pPr>
              <w:spacing w:after="0"/>
            </w:pPr>
            <w:r>
              <w:rPr>
                <w:rFonts w:ascii="Calibri" w:hAnsi="Calibri"/>
                <w:b/>
                <w:i w:val="0"/>
                <w:color w:val="FFFFFF"/>
                <w:sz w:val="17"/>
              </w:rPr>
              <w:t>Purpose</w:t>
            </w:r>
          </w:p>
        </w:tc>
      </w:tr>
      <w:tr>
        <w:tc>
          <w:tcPr>
            <w:tcW w:type="dxa" w:w="2800"/>
            <w:vAlign w:val="center"/>
            <w:tcMar>
              <w:top w:w="90" w:type="dxa"/>
              <w:start w:w="120" w:type="dxa"/>
              <w:bottom w:w="90" w:type="dxa"/>
              <w:end w:w="120" w:type="dxa"/>
            </w:tcMar>
          </w:tcPr>
          <w:p>
            <w:pPr>
              <w:spacing w:after="0"/>
            </w:pPr>
            <w:r>
              <w:rPr>
                <w:rFonts w:ascii="Calibri" w:hAnsi="Calibri"/>
                <w:b w:val="0"/>
                <w:i w:val="0"/>
                <w:color w:val="202124"/>
                <w:sz w:val="16"/>
              </w:rPr>
              <w:t>Finance Forward Webinar</w:t>
            </w:r>
          </w:p>
        </w:tc>
        <w:tc>
          <w:tcPr>
            <w:tcW w:type="dxa" w:w="1000"/>
            <w:vAlign w:val="center"/>
            <w:tcMar>
              <w:top w:w="90" w:type="dxa"/>
              <w:start w:w="120" w:type="dxa"/>
              <w:bottom w:w="90" w:type="dxa"/>
              <w:end w:w="120" w:type="dxa"/>
            </w:tcMar>
          </w:tcPr>
          <w:p>
            <w:pPr>
              <w:spacing w:after="0"/>
            </w:pPr>
            <w:r>
              <w:rPr>
                <w:rFonts w:ascii="Calibri" w:hAnsi="Calibri"/>
                <w:b w:val="0"/>
                <w:i w:val="0"/>
                <w:color w:val="202124"/>
                <w:sz w:val="16"/>
              </w:rPr>
              <w:t>Q1</w:t>
            </w:r>
          </w:p>
        </w:tc>
        <w:tc>
          <w:tcPr>
            <w:tcW w:type="dxa" w:w="1460"/>
            <w:vAlign w:val="center"/>
            <w:tcMar>
              <w:top w:w="90" w:type="dxa"/>
              <w:start w:w="120" w:type="dxa"/>
              <w:bottom w:w="90" w:type="dxa"/>
              <w:end w:w="120" w:type="dxa"/>
            </w:tcMar>
          </w:tcPr>
          <w:p>
            <w:pPr>
              <w:spacing w:after="0"/>
            </w:pPr>
            <w:r>
              <w:rPr>
                <w:rFonts w:ascii="Calibri" w:hAnsi="Calibri"/>
                <w:b w:val="0"/>
                <w:i w:val="0"/>
                <w:color w:val="202124"/>
                <w:sz w:val="16"/>
              </w:rPr>
              <w:t>$42,000</w:t>
            </w:r>
          </w:p>
        </w:tc>
        <w:tc>
          <w:tcPr>
            <w:tcW w:type="dxa" w:w="4100"/>
            <w:vAlign w:val="center"/>
            <w:tcMar>
              <w:top w:w="90" w:type="dxa"/>
              <w:start w:w="120" w:type="dxa"/>
              <w:bottom w:w="90" w:type="dxa"/>
              <w:end w:w="120" w:type="dxa"/>
            </w:tcMar>
          </w:tcPr>
          <w:p>
            <w:pPr>
              <w:spacing w:after="0"/>
            </w:pPr>
            <w:r>
              <w:rPr>
                <w:rFonts w:ascii="Calibri" w:hAnsi="Calibri"/>
                <w:b w:val="0"/>
                <w:i w:val="0"/>
                <w:color w:val="202124"/>
                <w:sz w:val="16"/>
              </w:rPr>
              <w:t>Live demo for controllers and FP&amp;A leaders</w:t>
            </w:r>
          </w:p>
        </w:tc>
      </w:tr>
      <w:tr>
        <w:tc>
          <w:tcPr>
            <w:tcW w:type="dxa" w:w="2800"/>
            <w:shd w:fill="F8FAFC"/>
            <w:vAlign w:val="center"/>
            <w:tcMar>
              <w:top w:w="90" w:type="dxa"/>
              <w:start w:w="120" w:type="dxa"/>
              <w:bottom w:w="90" w:type="dxa"/>
              <w:end w:w="120" w:type="dxa"/>
            </w:tcMar>
          </w:tcPr>
          <w:p>
            <w:pPr>
              <w:spacing w:after="0"/>
            </w:pPr>
            <w:r>
              <w:rPr>
                <w:rFonts w:ascii="Calibri" w:hAnsi="Calibri"/>
                <w:b w:val="0"/>
                <w:i w:val="0"/>
                <w:color w:val="202124"/>
                <w:sz w:val="16"/>
              </w:rPr>
              <w:t>Controller Summit Sponsorship</w:t>
            </w:r>
          </w:p>
        </w:tc>
        <w:tc>
          <w:tcPr>
            <w:tcW w:type="dxa" w:w="1000"/>
            <w:shd w:fill="F8FAFC"/>
            <w:vAlign w:val="center"/>
            <w:tcMar>
              <w:top w:w="90" w:type="dxa"/>
              <w:start w:w="120" w:type="dxa"/>
              <w:bottom w:w="90" w:type="dxa"/>
              <w:end w:w="120" w:type="dxa"/>
            </w:tcMar>
          </w:tcPr>
          <w:p>
            <w:pPr>
              <w:spacing w:after="0"/>
            </w:pPr>
            <w:r>
              <w:rPr>
                <w:rFonts w:ascii="Calibri" w:hAnsi="Calibri"/>
                <w:b w:val="0"/>
                <w:i w:val="0"/>
                <w:color w:val="202124"/>
                <w:sz w:val="16"/>
              </w:rPr>
              <w:t>Q2</w:t>
            </w:r>
          </w:p>
        </w:tc>
        <w:tc>
          <w:tcPr>
            <w:tcW w:type="dxa" w:w="1460"/>
            <w:shd w:fill="F8FAFC"/>
            <w:vAlign w:val="center"/>
            <w:tcMar>
              <w:top w:w="90" w:type="dxa"/>
              <w:start w:w="120" w:type="dxa"/>
              <w:bottom w:w="90" w:type="dxa"/>
              <w:end w:w="120" w:type="dxa"/>
            </w:tcMar>
          </w:tcPr>
          <w:p>
            <w:pPr>
              <w:spacing w:after="0"/>
            </w:pPr>
            <w:r>
              <w:rPr>
                <w:rFonts w:ascii="Calibri" w:hAnsi="Calibri"/>
                <w:b w:val="0"/>
                <w:i w:val="0"/>
                <w:color w:val="202124"/>
                <w:sz w:val="16"/>
              </w:rPr>
              <w:t>$68,000</w:t>
            </w:r>
          </w:p>
        </w:tc>
        <w:tc>
          <w:tcPr>
            <w:tcW w:type="dxa" w:w="4100"/>
            <w:shd w:fill="F8FAFC"/>
            <w:vAlign w:val="center"/>
            <w:tcMar>
              <w:top w:w="90" w:type="dxa"/>
              <w:start w:w="120" w:type="dxa"/>
              <w:bottom w:w="90" w:type="dxa"/>
              <w:end w:w="120" w:type="dxa"/>
            </w:tcMar>
          </w:tcPr>
          <w:p>
            <w:pPr>
              <w:spacing w:after="0"/>
            </w:pPr>
            <w:r>
              <w:rPr>
                <w:rFonts w:ascii="Calibri" w:hAnsi="Calibri"/>
                <w:b w:val="0"/>
                <w:i w:val="0"/>
                <w:color w:val="202124"/>
                <w:sz w:val="16"/>
              </w:rPr>
              <w:t>Pipeline and product awareness</w:t>
            </w:r>
          </w:p>
        </w:tc>
      </w:tr>
      <w:tr>
        <w:tc>
          <w:tcPr>
            <w:tcW w:type="dxa" w:w="2800"/>
            <w:vAlign w:val="center"/>
            <w:tcMar>
              <w:top w:w="90" w:type="dxa"/>
              <w:start w:w="120" w:type="dxa"/>
              <w:bottom w:w="90" w:type="dxa"/>
              <w:end w:w="120" w:type="dxa"/>
            </w:tcMar>
          </w:tcPr>
          <w:p>
            <w:pPr>
              <w:spacing w:after="0"/>
            </w:pPr>
            <w:r>
              <w:rPr>
                <w:rFonts w:ascii="Calibri" w:hAnsi="Calibri"/>
                <w:b w:val="0"/>
                <w:i w:val="0"/>
                <w:color w:val="202124"/>
                <w:sz w:val="16"/>
              </w:rPr>
              <w:t>Close Faster Content Series</w:t>
            </w:r>
          </w:p>
        </w:tc>
        <w:tc>
          <w:tcPr>
            <w:tcW w:type="dxa" w:w="1000"/>
            <w:vAlign w:val="center"/>
            <w:tcMar>
              <w:top w:w="90" w:type="dxa"/>
              <w:start w:w="120" w:type="dxa"/>
              <w:bottom w:w="90" w:type="dxa"/>
              <w:end w:w="120" w:type="dxa"/>
            </w:tcMar>
          </w:tcPr>
          <w:p>
            <w:pPr>
              <w:spacing w:after="0"/>
            </w:pPr>
            <w:r>
              <w:rPr>
                <w:rFonts w:ascii="Calibri" w:hAnsi="Calibri"/>
                <w:b w:val="0"/>
                <w:i w:val="0"/>
                <w:color w:val="202124"/>
                <w:sz w:val="16"/>
              </w:rPr>
              <w:t>Q2</w:t>
            </w:r>
          </w:p>
        </w:tc>
        <w:tc>
          <w:tcPr>
            <w:tcW w:type="dxa" w:w="1460"/>
            <w:vAlign w:val="center"/>
            <w:tcMar>
              <w:top w:w="90" w:type="dxa"/>
              <w:start w:w="120" w:type="dxa"/>
              <w:bottom w:w="90" w:type="dxa"/>
              <w:end w:w="120" w:type="dxa"/>
            </w:tcMar>
          </w:tcPr>
          <w:p>
            <w:pPr>
              <w:spacing w:after="0"/>
            </w:pPr>
            <w:r>
              <w:rPr>
                <w:rFonts w:ascii="Calibri" w:hAnsi="Calibri"/>
                <w:b w:val="0"/>
                <w:i w:val="0"/>
                <w:color w:val="202124"/>
                <w:sz w:val="16"/>
              </w:rPr>
              <w:t>$31,000</w:t>
            </w:r>
          </w:p>
        </w:tc>
        <w:tc>
          <w:tcPr>
            <w:tcW w:type="dxa" w:w="4100"/>
            <w:vAlign w:val="center"/>
            <w:tcMar>
              <w:top w:w="90" w:type="dxa"/>
              <w:start w:w="120" w:type="dxa"/>
              <w:bottom w:w="90" w:type="dxa"/>
              <w:end w:w="120" w:type="dxa"/>
            </w:tcMar>
          </w:tcPr>
          <w:p>
            <w:pPr>
              <w:spacing w:after="0"/>
            </w:pPr>
            <w:r>
              <w:rPr>
                <w:rFonts w:ascii="Calibri" w:hAnsi="Calibri"/>
                <w:b w:val="0"/>
                <w:i w:val="0"/>
                <w:color w:val="202124"/>
                <w:sz w:val="16"/>
              </w:rPr>
              <w:t>Search and email content</w:t>
            </w:r>
          </w:p>
        </w:tc>
      </w:tr>
      <w:tr>
        <w:tc>
          <w:tcPr>
            <w:tcW w:type="dxa" w:w="2800"/>
            <w:shd w:fill="F8FAFC"/>
            <w:vAlign w:val="center"/>
            <w:tcMar>
              <w:top w:w="90" w:type="dxa"/>
              <w:start w:w="120" w:type="dxa"/>
              <w:bottom w:w="90" w:type="dxa"/>
              <w:end w:w="120" w:type="dxa"/>
            </w:tcMar>
          </w:tcPr>
          <w:p>
            <w:pPr>
              <w:spacing w:after="0"/>
            </w:pPr>
            <w:r>
              <w:rPr>
                <w:rFonts w:ascii="Calibri" w:hAnsi="Calibri"/>
                <w:b w:val="0"/>
                <w:i w:val="0"/>
                <w:color w:val="202124"/>
                <w:sz w:val="16"/>
              </w:rPr>
              <w:t>Aurora Customer Stories</w:t>
            </w:r>
          </w:p>
        </w:tc>
        <w:tc>
          <w:tcPr>
            <w:tcW w:type="dxa" w:w="1000"/>
            <w:shd w:fill="F8FAFC"/>
            <w:vAlign w:val="center"/>
            <w:tcMar>
              <w:top w:w="90" w:type="dxa"/>
              <w:start w:w="120" w:type="dxa"/>
              <w:bottom w:w="90" w:type="dxa"/>
              <w:end w:w="120" w:type="dxa"/>
            </w:tcMar>
          </w:tcPr>
          <w:p>
            <w:pPr>
              <w:spacing w:after="0"/>
            </w:pPr>
            <w:r>
              <w:rPr>
                <w:rFonts w:ascii="Calibri" w:hAnsi="Calibri"/>
                <w:b w:val="0"/>
                <w:i w:val="0"/>
                <w:color w:val="202124"/>
                <w:sz w:val="16"/>
              </w:rPr>
              <w:t>Q3</w:t>
            </w:r>
          </w:p>
        </w:tc>
        <w:tc>
          <w:tcPr>
            <w:tcW w:type="dxa" w:w="1460"/>
            <w:shd w:fill="F8FAFC"/>
            <w:vAlign w:val="center"/>
            <w:tcMar>
              <w:top w:w="90" w:type="dxa"/>
              <w:start w:w="120" w:type="dxa"/>
              <w:bottom w:w="90" w:type="dxa"/>
              <w:end w:w="120" w:type="dxa"/>
            </w:tcMar>
          </w:tcPr>
          <w:p>
            <w:pPr>
              <w:spacing w:after="0"/>
            </w:pPr>
            <w:r>
              <w:rPr>
                <w:rFonts w:ascii="Calibri" w:hAnsi="Calibri"/>
                <w:b w:val="0"/>
                <w:i w:val="0"/>
                <w:color w:val="202124"/>
                <w:sz w:val="16"/>
              </w:rPr>
              <w:t>$36,000</w:t>
            </w:r>
          </w:p>
        </w:tc>
        <w:tc>
          <w:tcPr>
            <w:tcW w:type="dxa" w:w="4100"/>
            <w:shd w:fill="F8FAFC"/>
            <w:vAlign w:val="center"/>
            <w:tcMar>
              <w:top w:w="90" w:type="dxa"/>
              <w:start w:w="120" w:type="dxa"/>
              <w:bottom w:w="90" w:type="dxa"/>
              <w:end w:w="120" w:type="dxa"/>
            </w:tcMar>
          </w:tcPr>
          <w:p>
            <w:pPr>
              <w:spacing w:after="0"/>
            </w:pPr>
            <w:r>
              <w:rPr>
                <w:rFonts w:ascii="Calibri" w:hAnsi="Calibri"/>
                <w:b w:val="0"/>
                <w:i w:val="0"/>
                <w:color w:val="202124"/>
                <w:sz w:val="16"/>
              </w:rPr>
              <w:t>Proof through fictional customer examples</w:t>
            </w:r>
          </w:p>
        </w:tc>
      </w:tr>
      <w:tr>
        <w:tc>
          <w:tcPr>
            <w:tcW w:type="dxa" w:w="2800"/>
            <w:vAlign w:val="center"/>
            <w:tcMar>
              <w:top w:w="90" w:type="dxa"/>
              <w:start w:w="120" w:type="dxa"/>
              <w:bottom w:w="90" w:type="dxa"/>
              <w:end w:w="120" w:type="dxa"/>
            </w:tcMar>
          </w:tcPr>
          <w:p>
            <w:pPr>
              <w:spacing w:after="0"/>
            </w:pPr>
            <w:r>
              <w:rPr>
                <w:rFonts w:ascii="Calibri" w:hAnsi="Calibri"/>
                <w:b w:val="0"/>
                <w:i w:val="0"/>
                <w:color w:val="202124"/>
                <w:sz w:val="16"/>
              </w:rPr>
              <w:t>Year-End Readiness Campaign</w:t>
            </w:r>
          </w:p>
        </w:tc>
        <w:tc>
          <w:tcPr>
            <w:tcW w:type="dxa" w:w="1000"/>
            <w:vAlign w:val="center"/>
            <w:tcMar>
              <w:top w:w="90" w:type="dxa"/>
              <w:start w:w="120" w:type="dxa"/>
              <w:bottom w:w="90" w:type="dxa"/>
              <w:end w:w="120" w:type="dxa"/>
            </w:tcMar>
          </w:tcPr>
          <w:p>
            <w:pPr>
              <w:spacing w:after="0"/>
            </w:pPr>
            <w:r>
              <w:rPr>
                <w:rFonts w:ascii="Calibri" w:hAnsi="Calibri"/>
                <w:b w:val="0"/>
                <w:i w:val="0"/>
                <w:color w:val="202124"/>
                <w:sz w:val="16"/>
              </w:rPr>
              <w:t>Q4</w:t>
            </w:r>
          </w:p>
        </w:tc>
        <w:tc>
          <w:tcPr>
            <w:tcW w:type="dxa" w:w="1460"/>
            <w:vAlign w:val="center"/>
            <w:tcMar>
              <w:top w:w="90" w:type="dxa"/>
              <w:start w:w="120" w:type="dxa"/>
              <w:bottom w:w="90" w:type="dxa"/>
              <w:end w:w="120" w:type="dxa"/>
            </w:tcMar>
          </w:tcPr>
          <w:p>
            <w:pPr>
              <w:spacing w:after="0"/>
            </w:pPr>
            <w:r>
              <w:rPr>
                <w:rFonts w:ascii="Calibri" w:hAnsi="Calibri"/>
                <w:b w:val="0"/>
                <w:i w:val="0"/>
                <w:color w:val="202124"/>
                <w:sz w:val="16"/>
              </w:rPr>
              <w:t>$55,000</w:t>
            </w:r>
          </w:p>
        </w:tc>
        <w:tc>
          <w:tcPr>
            <w:tcW w:type="dxa" w:w="4100"/>
            <w:vAlign w:val="center"/>
            <w:tcMar>
              <w:top w:w="90" w:type="dxa"/>
              <w:start w:w="120" w:type="dxa"/>
              <w:bottom w:w="90" w:type="dxa"/>
              <w:end w:w="120" w:type="dxa"/>
            </w:tcMar>
          </w:tcPr>
          <w:p>
            <w:pPr>
              <w:spacing w:after="0"/>
            </w:pPr>
            <w:r>
              <w:rPr>
                <w:rFonts w:ascii="Calibri" w:hAnsi="Calibri"/>
                <w:b w:val="0"/>
                <w:i w:val="0"/>
                <w:color w:val="202124"/>
                <w:sz w:val="16"/>
              </w:rPr>
              <w:t>Budget-season and close planning demand</w:t>
            </w:r>
          </w:p>
        </w:tc>
      </w:tr>
    </w:tbl>
    <w:p>
      <w:r>
        <w:rPr>
          <w:rFonts w:ascii="Calibri" w:hAnsi="Calibri"/>
          <w:b w:val="0"/>
          <w:i w:val="0"/>
          <w:color w:val="202124"/>
          <w:sz w:val="22"/>
        </w:rPr>
        <w:t>Detailed Aurora marketing budget and actual spending are maintained in FY2026 Marketing Budget.xlsx in the Financial Data folder. Priya Shah approves campaign reallocations up to $15,000; larger changes require Rachel Stein, CFO.</w:t>
      </w:r>
    </w:p>
    <w:p>
      <w:pPr>
        <w:pStyle w:val="Heading1"/>
      </w:pPr>
      <w:r>
        <w:t>Success measures</w:t>
      </w:r>
    </w:p>
    <w:p>
      <w:pPr>
        <w:pStyle w:val="ListBullet"/>
      </w:pPr>
      <w:r>
        <w:rPr>
          <w:rFonts w:ascii="Calibri" w:hAnsi="Calibri"/>
          <w:b w:val="0"/>
          <w:i w:val="0"/>
          <w:color w:val="202124"/>
          <w:sz w:val="22"/>
        </w:rPr>
        <w:t>Generate 240 marketing-qualified leads from finance and accounting roles.</w:t>
      </w:r>
    </w:p>
    <w:p>
      <w:pPr>
        <w:pStyle w:val="ListBullet"/>
      </w:pPr>
      <w:r>
        <w:rPr>
          <w:rFonts w:ascii="Calibri" w:hAnsi="Calibri"/>
          <w:b w:val="0"/>
          <w:i w:val="0"/>
          <w:color w:val="202124"/>
          <w:sz w:val="22"/>
        </w:rPr>
        <w:t>Create 60 product demonstrations tied to Aurora campaigns.</w:t>
      </w:r>
    </w:p>
    <w:p>
      <w:pPr>
        <w:pStyle w:val="ListBullet"/>
      </w:pPr>
      <w:r>
        <w:rPr>
          <w:rFonts w:ascii="Calibri" w:hAnsi="Calibri"/>
          <w:b w:val="0"/>
          <w:i w:val="0"/>
          <w:color w:val="202124"/>
          <w:sz w:val="22"/>
        </w:rPr>
        <w:t>Keep cost per qualified lead below $1,250 for the full year.</w:t>
      </w:r>
    </w:p>
    <w:sectPr w:rsidR="00FC693F" w:rsidRPr="0006063C" w:rsidSect="00034616">
      <w:headerReference w:type="default" r:id="rId9"/>
      <w:footerReference w:type="default" r:id="rId10"/>
      <w:pgSz w:w="12240" w:h="15840"/>
      <w:pgMar w:top="1037" w:right="1224" w:bottom="1008" w:left="1224"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jc w:val="right"/>
    </w:pPr>
    <w:r>
      <w:rPr>
        <w:rFonts w:ascii="Calibri" w:hAnsi="Calibri"/>
        <w:b w:val="0"/>
        <w:i w:val="0"/>
        <w:color w:val="6B7280"/>
        <w:sz w:val="16"/>
      </w:rPr>
      <w:t xml:space="preserve">Page </w:t>
    </w:r>
    <w:fldChar w:fldCharType="begin"/>
    <w:instrText xml:space="preserve"> PAGE </w:instrText>
    <w:fldChar w:fldCharType="end"/>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i w:val="0"/>
        <w:color w:val="6B7280"/>
        <w:sz w:val="16"/>
      </w:rPr>
      <w:t>NORTHSTAR AI  |  INTERNAL DEMO CONTENT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2021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40"/>
      <w:outlineLvl w:val="0"/>
    </w:pPr>
    <w:rPr>
      <w:rFonts w:asciiTheme="majorHAnsi" w:eastAsiaTheme="majorEastAsia" w:hAnsiTheme="majorHAnsi" w:cstheme="majorBidi" w:ascii="Calibri" w:hAnsi="Calibri"/>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Calibri" w:hAnsi="Calibri"/>
      <w:b/>
      <w:bCs/>
      <w:color w:val="2E75B6"/>
      <w:sz w:val="26"/>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Calibri" w:hAnsi="Calibri"/>
      <w:b/>
      <w:bCs/>
      <w:color w:val="17365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line="269" w:lineRule="auto"/>
      <w:ind w:left="547" w:hanging="259"/>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line="269" w:lineRule="auto"/>
      <w:ind w:left="547" w:hanging="259"/>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238C52ED960247B3A2824D8BC4D643" ma:contentTypeVersion="3" ma:contentTypeDescription="Create a new document." ma:contentTypeScope="" ma:versionID="7acf50459a7166135bf44d3f930b1b1c">
  <xsd:schema xmlns:xsd="http://www.w3.org/2001/XMLSchema" xmlns:xs="http://www.w3.org/2001/XMLSchema" xmlns:p="http://schemas.microsoft.com/office/2006/metadata/properties" xmlns:ns2="21b1b137-97de-42cf-a5fb-314c468c8af0" targetNamespace="http://schemas.microsoft.com/office/2006/metadata/properties" ma:root="true" ma:fieldsID="5f28b13b4b142af8a6531b2ad340f1be" ns2:_="">
    <xsd:import namespace="21b1b137-97de-42cf-a5fb-314c468c8a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1b137-97de-42cf-a5fb-314c468c8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3AC391C-3E91-4DA4-BB7C-9A0455892C3F}"/>
</file>

<file path=customXml/itemProps3.xml><?xml version="1.0" encoding="utf-8"?>
<ds:datastoreItem xmlns:ds="http://schemas.openxmlformats.org/officeDocument/2006/customXml" ds:itemID="{11A79D3D-7A4B-4547-BA42-39E2D5D38833}"/>
</file>

<file path=customXml/itemProps4.xml><?xml version="1.0" encoding="utf-8"?>
<ds:datastoreItem xmlns:ds="http://schemas.openxmlformats.org/officeDocument/2006/customXml" ds:itemID="{1EF1F4D0-7F3C-4069-88EF-9B875D07908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0x010100D3238C52ED960247B3A2824D8BC4D643</vt:lpwstr>
  </property>
</Properties>
</file>